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3"/>
        <w:tblW w:w="15880" w:type="dxa"/>
        <w:jc w:val="left"/>
        <w:tblInd w:w="-554" w:type="dxa"/>
        <w:tblLayout w:type="fixed"/>
        <w:tblCellMar>
          <w:top w:w="55" w:type="dxa"/>
          <w:left w:w="55" w:type="dxa"/>
          <w:bottom w:w="55" w:type="dxa"/>
          <w:right w:w="55" w:type="dxa"/>
        </w:tblCellMar>
        <w:tblLook w:val="04a0"/>
      </w:tblPr>
      <w:tblGrid>
        <w:gridCol w:w="2559"/>
        <w:gridCol w:w="1701"/>
        <w:gridCol w:w="6520"/>
        <w:gridCol w:w="1639"/>
        <w:gridCol w:w="1180"/>
        <w:gridCol w:w="2280"/>
      </w:tblGrid>
      <w:tr>
        <w:trPr/>
        <w:tc>
          <w:tcPr>
            <w:tcW w:w="2559" w:type="dxa"/>
            <w:tcBorders/>
          </w:tcPr>
          <w:p>
            <w:pPr>
              <w:pStyle w:val="Normal"/>
              <w:suppressAutoHyphens w:val="tru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Полное наименование отдела/управления</w:t>
            </w:r>
          </w:p>
        </w:tc>
        <w:tc>
          <w:tcPr>
            <w:tcW w:w="1701" w:type="dxa"/>
            <w:tcBorders/>
          </w:tcPr>
          <w:p>
            <w:pPr>
              <w:pStyle w:val="Normal"/>
              <w:suppressAutoHyphens w:val="tru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ФИО руководителя</w:t>
            </w:r>
          </w:p>
        </w:tc>
        <w:tc>
          <w:tcPr>
            <w:tcW w:w="6520" w:type="dxa"/>
            <w:tcBorders/>
          </w:tcPr>
          <w:p>
            <w:pPr>
              <w:pStyle w:val="Normal"/>
              <w:suppressAutoHyphens w:val="tru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Основные задачи, функции</w:t>
            </w:r>
          </w:p>
        </w:tc>
        <w:tc>
          <w:tcPr>
            <w:tcW w:w="1639" w:type="dxa"/>
            <w:tcBorders/>
          </w:tcPr>
          <w:p>
            <w:pPr>
              <w:pStyle w:val="Normal"/>
              <w:suppressAutoHyphens w:val="tru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Положение прикреплено (да/нет)</w:t>
            </w:r>
          </w:p>
        </w:tc>
        <w:tc>
          <w:tcPr>
            <w:tcW w:w="1180" w:type="dxa"/>
            <w:tcBorders/>
          </w:tcPr>
          <w:p>
            <w:pPr>
              <w:pStyle w:val="Normal"/>
              <w:suppressAutoHyphens w:val="tru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Контакт-ный телефон</w:t>
            </w:r>
          </w:p>
        </w:tc>
        <w:tc>
          <w:tcPr>
            <w:tcW w:w="2280" w:type="dxa"/>
            <w:tcBorders/>
          </w:tcPr>
          <w:p>
            <w:pPr>
              <w:pStyle w:val="Normal"/>
              <w:suppressAutoHyphens w:val="true"/>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Электронная почта</w:t>
            </w:r>
          </w:p>
        </w:tc>
      </w:tr>
      <w:tr>
        <w:trPr/>
        <w:tc>
          <w:tcPr>
            <w:tcW w:w="2559" w:type="dxa"/>
            <w:tcBorders>
              <w:top w:val="single" w:sz="2" w:space="0" w:color="000000"/>
              <w:left w:val="single" w:sz="2" w:space="0" w:color="000000"/>
              <w:bottom w:val="single" w:sz="2" w:space="0" w:color="000000"/>
            </w:tcBorders>
          </w:tcPr>
          <w:p>
            <w:pPr>
              <w:pStyle w:val="Style20"/>
              <w:widowControl/>
              <w:suppressAutoHyphens w:val="true"/>
              <w:spacing w:lineRule="auto" w:line="240" w:before="0" w:after="200"/>
              <w:jc w:val="left"/>
              <w:rPr>
                <w:rFonts w:ascii="Times New Roman" w:hAnsi="Times New Roman"/>
                <w:sz w:val="28"/>
                <w:szCs w:val="28"/>
              </w:rPr>
            </w:pPr>
            <w:r>
              <w:rPr>
                <w:rFonts w:eastAsia="" w:cs="" w:ascii="Times New Roman" w:hAnsi="Times New Roman"/>
                <w:kern w:val="0"/>
                <w:sz w:val="28"/>
                <w:szCs w:val="28"/>
                <w:lang w:val="ru-RU" w:eastAsia="ru-RU" w:bidi="ar-SA"/>
              </w:rPr>
              <w:t>Муниципальное учреждение «Управление социальной поддержки населения администрации города Пятигорска»</w:t>
            </w:r>
          </w:p>
        </w:tc>
        <w:tc>
          <w:tcPr>
            <w:tcW w:w="1701" w:type="dxa"/>
            <w:tcBorders>
              <w:top w:val="single" w:sz="2" w:space="0" w:color="000000"/>
              <w:left w:val="single" w:sz="2" w:space="0" w:color="000000"/>
              <w:bottom w:val="single" w:sz="2" w:space="0" w:color="000000"/>
            </w:tcBorders>
          </w:tcPr>
          <w:p>
            <w:pPr>
              <w:pStyle w:val="Style20"/>
              <w:widowControl/>
              <w:suppressAutoHyphens w:val="true"/>
              <w:spacing w:lineRule="auto" w:line="240" w:before="0" w:after="200"/>
              <w:jc w:val="left"/>
              <w:rPr>
                <w:rFonts w:ascii="Times New Roman" w:hAnsi="Times New Roman"/>
                <w:sz w:val="28"/>
                <w:szCs w:val="28"/>
              </w:rPr>
            </w:pPr>
            <w:r>
              <w:rPr>
                <w:rFonts w:eastAsia="" w:cs="" w:ascii="Times New Roman" w:hAnsi="Times New Roman" w:cstheme="minorBidi" w:eastAsiaTheme="minorEastAsia"/>
                <w:color w:val="auto"/>
                <w:kern w:val="0"/>
                <w:sz w:val="28"/>
                <w:szCs w:val="28"/>
                <w:lang w:val="ru-RU" w:eastAsia="ru-RU" w:bidi="ar-SA"/>
              </w:rPr>
              <w:t>Кунцевич Наталия Степановна</w:t>
            </w:r>
            <w:r>
              <w:rPr>
                <w:rFonts w:eastAsia="" w:cs="" w:ascii="Times New Roman" w:hAnsi="Times New Roman"/>
                <w:kern w:val="0"/>
                <w:sz w:val="28"/>
                <w:szCs w:val="28"/>
                <w:lang w:val="ru-RU" w:eastAsia="ru-RU" w:bidi="ar-SA"/>
              </w:rPr>
              <w:t>, Начальник Управления</w:t>
            </w:r>
          </w:p>
        </w:tc>
        <w:tc>
          <w:tcPr>
            <w:tcW w:w="6520" w:type="dxa"/>
            <w:tcBorders>
              <w:top w:val="single" w:sz="2" w:space="0" w:color="000000"/>
              <w:left w:val="single" w:sz="2" w:space="0" w:color="000000"/>
              <w:bottom w:val="single" w:sz="2" w:space="0" w:color="000000"/>
            </w:tcBorders>
          </w:tcPr>
          <w:p>
            <w:pPr>
              <w:pStyle w:val="Normal"/>
              <w:suppressAutoHyphens w:val="true"/>
              <w:spacing w:before="0" w:after="0"/>
              <w:ind w:firstLine="708" w:left="0" w:right="0"/>
              <w:jc w:val="both"/>
              <w:rPr>
                <w:rFonts w:ascii="Times New Roman" w:hAnsi="Times New Roman"/>
                <w:sz w:val="28"/>
                <w:szCs w:val="28"/>
              </w:rPr>
            </w:pPr>
            <w:r>
              <w:rPr>
                <w:rFonts w:cs="Times New Roman" w:ascii="Times New Roman" w:hAnsi="Times New Roman"/>
                <w:sz w:val="28"/>
                <w:szCs w:val="28"/>
              </w:rPr>
              <w:t xml:space="preserve">Основные </w:t>
            </w:r>
            <w:r>
              <w:rPr>
                <w:rFonts w:cs="Times New Roman" w:ascii="Times New Roman" w:hAnsi="Times New Roman"/>
                <w:b/>
                <w:sz w:val="28"/>
                <w:szCs w:val="28"/>
              </w:rPr>
              <w:t>функции</w:t>
            </w:r>
            <w:r>
              <w:rPr>
                <w:rFonts w:cs="Times New Roman" w:ascii="Times New Roman" w:hAnsi="Times New Roman"/>
                <w:sz w:val="28"/>
                <w:szCs w:val="28"/>
              </w:rPr>
              <w:t xml:space="preserve"> Управления:</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1) мониторинг задолженности по оплате труда в разрезе организаций, расположенных на территории города-курорта Пятигорска, видов экономической деятельности и тенденций изменения заработной платы, предлагает меры  по ликвидации задолженности;</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2) уведомительную регистрацию коллективных договоров и соглашений;</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3) контроль за выполнением коллективных договоров, территориальных и иных соглашений в организациях, расположенных на территории города-курорта Пятигорска;</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4) изучение организации оплаты труда в организациях, расположенных на территории города-курорта Пятигорска, вносит предложения работодателям по использованию внутренних резервов по ее повышению;</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5) изучение процессов формирования, распределения и использования трудовых ресурсов, анализ ситуации с использованием рабочей силы, подготовку прогноза по структуре и численности трудовых ресурсов;</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6) анализ состояния и тенденций демографической ситуации, разрабатывает совместно с заинтересованными ведомствами прогнозные оценки социально-экономического развития города-курорта Пятигорска по демографическим показателям;</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7) анализ, с учетом демографической ситуации в городе, тенденции спроса и предложения рабочей силы (по профессиям и специальностям), подготовку прогноза потребности в специалистах и рабочих кадрах в отраслях экономики города-курорта Пятигорска;</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8) мониторинг и анализ состояния внутрипроизводственной подготовки персонала в организациях, расположенных на территории города-курорта Пятигорска;</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9) содействие предприятиям всех отраслей экономики города-курорта Пятигорска в вопросах развития кадрового потенциала;</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10) в установленном порядке мониторинг информации о состоянии условий и охраны труда у работодателей, осуществляющих деятельность на территории города-курорта Пятигорска, а также прием извещений о групповых несчастных случаях, тяжелых несчастных случаях и несчастных случаях со смертельным исходом, происшедших в организациях, находящихся на территории города;</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11) подготовку для направления в соответствующие органы надзора и контроля обращений и предложений по выявленным в организациях города-курорта Пятигорска фактам нарушений трудового законодательства и иных нормативных правовых актов, содержащих нормы трудового права;</w:t>
            </w:r>
          </w:p>
          <w:p>
            <w:pPr>
              <w:pStyle w:val="ConsPlusNonformat"/>
              <w:bidi w:val="0"/>
              <w:spacing w:lineRule="auto" w:line="240"/>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12) назначение, перерасчет и выплату компенсации расходов по оплате жилого помещения и коммунальных услуг отдельным категориям граждан в городе-курорте Пятигорске;</w:t>
            </w:r>
          </w:p>
          <w:p>
            <w:pPr>
              <w:pStyle w:val="ConsPlusNonformat"/>
              <w:bidi w:val="0"/>
              <w:spacing w:lineRule="auto" w:line="240"/>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13) назначение и осуществление ежемесячной денежной выплаты ветеранам труда, лицам, удостоенным звания «Ветеран труда Ставропольского края»,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pPr>
              <w:pStyle w:val="Normal"/>
              <w:ind w:firstLine="709"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14) назначение и осуществление ежемесячной денежной выплаты реабилитированным лицам и лицам, признанным пострадавшими от политических репрессий;</w:t>
            </w:r>
          </w:p>
          <w:p>
            <w:pPr>
              <w:pStyle w:val="Normal"/>
              <w:ind w:firstLine="709"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15) назначение и выплату ежемесячной денежной компенсации на каждого ребенка в возрасте до 18 лет многодетным семьям;</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16) назначение и выплату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законе от 12 января 1995 года №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либо при прохождении ими военной службы в добровольном порядке (по контракту), не получающим пенсию за выслугу лет, в соответствии с Законом Ставропольского края от 10 апреля 2006 года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17) назначение и осуществление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подпунктах 1 - 4 пункта 1 статьи 3 Федерального закона «О ветеранах», погибшего при исполнении обязанностей военной службы;</w:t>
            </w:r>
          </w:p>
          <w:p>
            <w:pPr>
              <w:pStyle w:val="Normal"/>
              <w:tabs>
                <w:tab w:val="clear" w:pos="708"/>
                <w:tab w:val="left" w:pos="0" w:leader="none"/>
              </w:tabs>
              <w:ind w:firstLine="540" w:right="0"/>
              <w:jc w:val="both"/>
              <w:rPr>
                <w:sz w:val="20"/>
              </w:rPr>
            </w:pPr>
            <w:r>
              <w:rPr>
                <w:rFonts w:eastAsia="" w:cs="Times New Roman" w:ascii="Times New Roman" w:hAnsi="Times New Roman" w:eastAsiaTheme="minorEastAsia"/>
                <w:i w:val="false"/>
                <w:iCs w:val="false"/>
                <w:color w:val="auto"/>
                <w:kern w:val="0"/>
                <w:sz w:val="28"/>
                <w:szCs w:val="28"/>
                <w:u w:val="none"/>
                <w:lang w:val="ru-RU" w:eastAsia="ru-RU" w:bidi="ar-SA"/>
              </w:rPr>
              <w:t xml:space="preserve"> </w:t>
            </w:r>
            <w:r>
              <w:rPr>
                <w:rFonts w:eastAsia="" w:cs="Times New Roman" w:ascii="Times New Roman" w:hAnsi="Times New Roman" w:eastAsiaTheme="minorEastAsia"/>
                <w:i w:val="false"/>
                <w:iCs w:val="false"/>
                <w:color w:val="auto"/>
                <w:kern w:val="0"/>
                <w:sz w:val="28"/>
                <w:szCs w:val="28"/>
                <w:u w:val="none"/>
                <w:lang w:val="ru-RU" w:eastAsia="ru-RU" w:bidi="ar-SA"/>
              </w:rPr>
              <w:t>18</w:t>
            </w:r>
            <w:r>
              <w:rPr>
                <w:rStyle w:val="Emphasis"/>
                <w:rFonts w:eastAsia="" w:cs="Times New Roman" w:ascii="Times New Roman" w:hAnsi="Times New Roman" w:eastAsiaTheme="minorEastAsia"/>
                <w:i w:val="false"/>
                <w:iCs w:val="false"/>
                <w:color w:val="auto"/>
                <w:kern w:val="0"/>
                <w:sz w:val="28"/>
                <w:szCs w:val="28"/>
                <w:u w:val="none"/>
                <w:lang w:val="ru-RU" w:eastAsia="ru-RU" w:bidi="ar-SA"/>
              </w:rPr>
              <w:t>) осуществлении приема заявлений и документов, необходимых для назначения и выплаты военнослужащим ежегодной денежной компенсации части стоимости путевки в санаторно-курортную организацию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pPr>
              <w:pStyle w:val="Normal"/>
              <w:tabs>
                <w:tab w:val="clear" w:pos="708"/>
                <w:tab w:val="left" w:pos="0" w:leader="none"/>
              </w:tabs>
              <w:ind w:firstLine="540" w:right="0"/>
              <w:jc w:val="both"/>
              <w:rPr>
                <w:sz w:val="20"/>
              </w:rPr>
            </w:pPr>
            <w:r>
              <w:rPr>
                <w:rFonts w:eastAsia="" w:cs="Times New Roman" w:ascii="Times New Roman" w:hAnsi="Times New Roman" w:eastAsiaTheme="minorEastAsia"/>
                <w:i w:val="false"/>
                <w:iCs w:val="false"/>
                <w:color w:val="auto"/>
                <w:kern w:val="0"/>
                <w:sz w:val="28"/>
                <w:szCs w:val="28"/>
                <w:u w:val="none"/>
                <w:lang w:val="ru-RU" w:eastAsia="ru-RU" w:bidi="ar-SA"/>
              </w:rPr>
              <w:t>19)</w:t>
            </w:r>
            <w:bookmarkStart w:id="0" w:name="ext-gen2100_Копия_1"/>
            <w:bookmarkEnd w:id="0"/>
            <w:r>
              <w:rPr>
                <w:rStyle w:val="Emphasis"/>
                <w:rFonts w:eastAsia="" w:cs="Times New Roman" w:ascii="Times New Roman" w:hAnsi="Times New Roman" w:eastAsiaTheme="minorEastAsia"/>
                <w:i w:val="false"/>
                <w:iCs w:val="false"/>
                <w:color w:val="auto"/>
                <w:kern w:val="0"/>
                <w:sz w:val="28"/>
                <w:szCs w:val="28"/>
                <w:u w:val="none"/>
                <w:lang w:val="ru-RU" w:eastAsia="ru-RU" w:bidi="ar-SA"/>
              </w:rPr>
              <w:t xml:space="preserve"> осуществлении приема заявлений и документов, необходимых для назначения и выплаты детям ветерана боевых действий, погибшего при исполнении обязанностей военной службы или умершего вследствие увечья (ранения, травмы, контузии), полученного им при исполнении обязанностей военной службы, обучающимся в государственных и муниципальных общеобразовательных организациях Ставропольского края, ежегодной денежной выплаты на приобретение комплекта школьной одежды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
          <w:p>
            <w:pPr>
              <w:pStyle w:val="Normal"/>
              <w:tabs>
                <w:tab w:val="clear" w:pos="708"/>
                <w:tab w:val="left" w:pos="0" w:leader="none"/>
              </w:tabs>
              <w:ind w:firstLine="540" w:right="0"/>
              <w:jc w:val="both"/>
              <w:rPr>
                <w:sz w:val="20"/>
              </w:rPr>
            </w:pPr>
            <w:r>
              <w:rPr>
                <w:rStyle w:val="Emphasis"/>
                <w:rFonts w:eastAsia="" w:cs="Times New Roman" w:ascii="Times New Roman" w:hAnsi="Times New Roman" w:eastAsiaTheme="minorEastAsia"/>
                <w:i w:val="false"/>
                <w:iCs w:val="false"/>
                <w:color w:val="auto"/>
                <w:kern w:val="0"/>
                <w:sz w:val="28"/>
                <w:szCs w:val="28"/>
                <w:u w:val="none"/>
                <w:lang w:val="ru-RU" w:eastAsia="ru-RU" w:bidi="ar-SA"/>
              </w:rPr>
              <w:t>20) осуществлении приема заявлений и документов, необходимых для назначения и выплаты денежной компенсации стоимости обучения ребенка (детей) участника специальной военной операции, обучающегося (обучающихся) по очной форме обучения в российской образовательной организации независимо от ее организационно-правовой формы и формы собственности, реализующей образовательные программы среднего профессионального и (или) высшего образования, до окончания его (их) обучения, но не позднее чем до достижения им (ими) возраста 23 лет в соответствии с Законом Ставропольского края от 28 февраля 2023 г. № 18-кз «О дополнительных социальных гарантиях участникам специальной военной операции и мерах социальной поддержки членов их семей»;</w:t>
            </w:r>
          </w:p>
          <w:p>
            <w:pPr>
              <w:pStyle w:val="Normal"/>
              <w:tabs>
                <w:tab w:val="clear" w:pos="708"/>
                <w:tab w:val="left" w:pos="0" w:leader="none"/>
              </w:tabs>
              <w:ind w:firstLine="540" w:right="0"/>
              <w:jc w:val="both"/>
              <w:rPr>
                <w:sz w:val="20"/>
              </w:rPr>
            </w:pPr>
            <w:r>
              <w:rPr>
                <w:rStyle w:val="Emphasis"/>
                <w:rFonts w:eastAsia="" w:cs="Times New Roman" w:ascii="Times New Roman" w:hAnsi="Times New Roman" w:eastAsiaTheme="minorEastAsia"/>
                <w:i w:val="false"/>
                <w:iCs w:val="false"/>
                <w:color w:val="auto"/>
                <w:kern w:val="0"/>
                <w:sz w:val="28"/>
                <w:szCs w:val="28"/>
                <w:u w:val="none"/>
                <w:lang w:val="ru-RU" w:eastAsia="ru-RU" w:bidi="ar-SA"/>
              </w:rPr>
              <w:t xml:space="preserve">21) </w:t>
            </w:r>
            <w:bookmarkStart w:id="1" w:name="ext-gen2102_Копия_1"/>
            <w:bookmarkEnd w:id="1"/>
            <w:r>
              <w:rPr>
                <w:rStyle w:val="Emphasis"/>
                <w:rFonts w:eastAsia="" w:cs="Times New Roman" w:ascii="Times New Roman" w:hAnsi="Times New Roman" w:eastAsiaTheme="minorEastAsia"/>
                <w:i w:val="false"/>
                <w:iCs w:val="false"/>
                <w:color w:val="auto"/>
                <w:kern w:val="0"/>
                <w:sz w:val="28"/>
                <w:szCs w:val="28"/>
                <w:u w:val="none"/>
                <w:lang w:val="ru-RU" w:eastAsia="ru-RU" w:bidi="ar-SA"/>
              </w:rPr>
              <w:t>осуществлении приема заявлений и документов, необходимых для назначения и выплаты участнику специальной военной операции компенсации стоимости (части стоимости) приобретенной им путевки в санаторно-курортную организацию, расположенную на территории Российской Федерации, в соответствии с Законом Ставропольского края от 28 февраля 2023 г. № 18-кз «О дополнительных социальных гарантиях участникам специальной военной операции и мерах социальной поддержки членов их семей»;</w:t>
            </w:r>
          </w:p>
          <w:p>
            <w:pPr>
              <w:pStyle w:val="Normal"/>
              <w:tabs>
                <w:tab w:val="clear" w:pos="708"/>
                <w:tab w:val="left" w:pos="0" w:leader="none"/>
              </w:tabs>
              <w:ind w:firstLine="540" w:right="0"/>
              <w:jc w:val="both"/>
              <w:rPr>
                <w:sz w:val="20"/>
              </w:rPr>
            </w:pPr>
            <w:r>
              <w:rPr>
                <w:rStyle w:val="Emphasis"/>
                <w:rFonts w:eastAsia="" w:cs="Times New Roman" w:ascii="Times New Roman" w:hAnsi="Times New Roman" w:eastAsiaTheme="minorEastAsia"/>
                <w:i w:val="false"/>
                <w:iCs w:val="false"/>
                <w:color w:val="auto"/>
                <w:kern w:val="0"/>
                <w:sz w:val="28"/>
                <w:szCs w:val="28"/>
                <w:u w:val="none"/>
                <w:lang w:val="ru-RU" w:eastAsia="ru-RU" w:bidi="ar-SA"/>
              </w:rPr>
              <w:t xml:space="preserve">22) </w:t>
            </w:r>
            <w:bookmarkStart w:id="2" w:name="ext-gen2103_Копия_1"/>
            <w:bookmarkEnd w:id="2"/>
            <w:r>
              <w:rPr>
                <w:rStyle w:val="Emphasis"/>
                <w:rFonts w:eastAsia="" w:cs="Times New Roman" w:ascii="Times New Roman" w:hAnsi="Times New Roman" w:eastAsiaTheme="minorEastAsia"/>
                <w:i w:val="false"/>
                <w:iCs w:val="false"/>
                <w:color w:val="auto"/>
                <w:kern w:val="0"/>
                <w:sz w:val="28"/>
                <w:szCs w:val="28"/>
                <w:u w:val="none"/>
                <w:lang w:val="ru-RU" w:eastAsia="ru-RU" w:bidi="ar-SA"/>
              </w:rPr>
              <w:t>осуществлении приема заявлений и документов, необходимых для назначения и выплаты компенсации стоимости (части стоимости) путевки, приобретенной в течение календарного года для ребенка (детей) участника специальной военной операции в возрасте от 6 до 17 лет включительно, в организацию отдыха детей и их оздоровления, расположенную на территории Российской Федерации, в соответствии с Законом Ставропольского края от 28 февраля 2023 г. № 18-кз «О дополнительных социальных гарантиях участникам специальной военной операции и мерах социальной поддержки членов их семей»;»;</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23)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в их предоставлении;</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24) принятие решений о назначении денежной компенсации лицам, подвергшимся репрессиям в виде лишения свободы, помещения на принудительное лечение в психиатрические лечебные учреждения и в последствии реабилитированным в соответствии с Законом Российской Федерации «О реабилитации жертв политических репрессий», представление в министерство труда и социальной защиты населения Ставропольского края  решений и документов для осуществления выплаты компенсаций;</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25)  принятие решений  о назначении компенсации стоимости проезда по социальной необходимости на пассажирском автомобильном транспорте общего пользования (кроме такси) по межмуниципальным маршрутам  регулярных перевозок в Ставропольском крае в соответствии с Законом Ставропольского края от 12 мая 2010 г. «Об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26) назначение и выплату ежегодного социального пособия на проезд студентам;</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27) назначение и выплату в соответствии с Федеральным законом «О погребении и похоронном деле»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случаях рождения мертвого ребенка по истечении 154 дней беременности;</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28) выдачу справок студентам, получившим государственную социальную помощь, обучающимся по очной форме обучения за счет бюджетных ассигнований федерального бюджета или бюджета Ставропольского края в образовательных организациях, реализующих программы среднего профессионального и (или) высшего образования;</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29) учет и предоставление льгот Героям Советского Союза, Героям Российской Федерации, Героям Социалистического Труда, полным кавалерам ордена Трудовой Славы, полным кавалерам ордена Славы и членам их семей;</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30) формирование пакетов документов на выдачу гражданам, подвергшимся воздействию радиации, удостоверений установленного образца;</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31) подготовку материалов для присвоения в установленном порядке гражданам звания «Ветеран труда» и «Ветеран труда Ставропольского края», выдачу удостоверений ветеранам труда и ветеранам труда Ставропольского края;</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32) подготовку документов граждан на комиссию по рассмотрению спорных вопросов, возникающих при приеме документов для присвоения звания «Ветеран труда» и «Ветеран труда Ставропольского края»;</w:t>
            </w:r>
          </w:p>
          <w:p>
            <w:pPr>
              <w:pStyle w:val="Normal"/>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33) выдачу и учет удостоверений инвалида Великой Отечественной войны и удостоверений о праве на льготы для инвалидов боевых действий, удостоверений о праве на льготы для родителей и жен погибших военнослужащих, гражданам получающим пенсию в территориальных органах Фонда пенсионного и социального страхования Российской Федерации;</w:t>
            </w:r>
          </w:p>
          <w:p>
            <w:pPr>
              <w:pStyle w:val="Normal"/>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34) предоставление документов в министерство труда и социальной защиты населения Ставропольского края для оформления:</w:t>
            </w:r>
          </w:p>
          <w:p>
            <w:pPr>
              <w:pStyle w:val="Normal"/>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 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гражданам, получающим пенсию в территориальных органах Фонда пенсионного и социального страхования Российской Федерации;</w:t>
            </w:r>
          </w:p>
          <w:p>
            <w:pPr>
              <w:pStyle w:val="Normal"/>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 xml:space="preserve">  </w:t>
            </w:r>
            <w:r>
              <w:rPr>
                <w:rFonts w:eastAsia="" w:cs="Times New Roman" w:ascii="Times New Roman" w:hAnsi="Times New Roman" w:eastAsiaTheme="minorEastAsia"/>
                <w:i w:val="false"/>
                <w:iCs w:val="false"/>
                <w:color w:val="auto"/>
                <w:kern w:val="0"/>
                <w:sz w:val="28"/>
                <w:szCs w:val="28"/>
                <w:u w:val="none"/>
                <w:lang w:val="ru-RU" w:eastAsia="ru-RU" w:bidi="ar-SA"/>
              </w:rPr>
              <w:t>- удостоверения члена семьи погибшего (умершего) инвалида войны, участника Великой Отечественной войны и ветерана боевых действий гражданам, получающим пенсию в территориальных органах Фонда пенсионного и социального страхования Российской Федерации;</w:t>
            </w:r>
          </w:p>
          <w:p>
            <w:pPr>
              <w:pStyle w:val="Normal"/>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 xml:space="preserve"> </w:t>
            </w:r>
            <w:r>
              <w:rPr>
                <w:rFonts w:eastAsia="" w:cs="Times New Roman" w:ascii="Times New Roman" w:hAnsi="Times New Roman" w:eastAsiaTheme="minorEastAsia"/>
                <w:i w:val="false"/>
                <w:iCs w:val="false"/>
                <w:color w:val="auto"/>
                <w:kern w:val="0"/>
                <w:sz w:val="28"/>
                <w:szCs w:val="28"/>
                <w:u w:val="none"/>
                <w:lang w:val="ru-RU" w:eastAsia="ru-RU" w:bidi="ar-SA"/>
              </w:rPr>
              <w:t>- удостоверения ветерана Великой Отечественной войны гражданам, получающим пенсию в территориальных органах Фонда пенсионного и социального страхования Российской Федерации;</w:t>
            </w:r>
          </w:p>
          <w:p>
            <w:pPr>
              <w:pStyle w:val="Normal"/>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 xml:space="preserve">  </w:t>
            </w:r>
            <w:r>
              <w:rPr>
                <w:rFonts w:eastAsia="" w:cs="Times New Roman" w:ascii="Times New Roman" w:hAnsi="Times New Roman" w:eastAsiaTheme="minorEastAsia"/>
                <w:i w:val="false"/>
                <w:iCs w:val="false"/>
                <w:color w:val="auto"/>
                <w:kern w:val="0"/>
                <w:sz w:val="28"/>
                <w:szCs w:val="28"/>
                <w:u w:val="none"/>
                <w:lang w:val="ru-RU" w:eastAsia="ru-RU" w:bidi="ar-SA"/>
              </w:rPr>
              <w:t>- удостоверения гражданам, подвергшимся воздействию радиации;</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35) предоставление в министерство труда и социальной защиты населения Ставропольского края  сведений об умерших получателях доплат к трудовым пенсиям и пенсиям за выслугу лет;</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36) работу по выявлению, постановке на учет, оказанию социальной помощи семьям с детьми, несовершеннолетним, находящимся в трудной жизненной ситуации и социально опасном положении, взаимодействие с субъектами профилактики безнадзорности и правонарушений несовершеннолетних;</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37) в пределах своей компетенции организацию индивидуальной профилактической работы в отношении безнадзорных и беспризорных несовершеннолетних, родителей или законных представителей несовершеннолетних, если они не исполняют своих обязанностей по их воспитанию, лечению, обучению и (или) содержанию и (или) отрицательно влияют на их поведение либо жестоко обращаются с ними;</w:t>
            </w:r>
          </w:p>
          <w:p>
            <w:pPr>
              <w:pStyle w:val="Normal"/>
              <w:ind w:firstLine="709"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38) подготовку документов к награждению многодетных матерей медалью «Материнская слава» и представление их в министерство труда и социальной защиты населения Ставропольского края;</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39) формирование банка данных и подготовку ежеквартальной статистической отчетности по показателям численности социально уязвимых категорий граждан, а также видам и размерам оказания им помощи;</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40) формирование банка данных лиц, имеющих право на получение социальной помощи и мер социальной поддержки в соответствии с законодательством Российской Федерации и законодательством Ставропольского края и получивших их;</w:t>
            </w:r>
          </w:p>
          <w:p>
            <w:pPr>
              <w:pStyle w:val="Normal"/>
              <w:shd w:val="clear" w:fill="FFFFFF"/>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41) формирование общегосударственной базы данных о социальном положении и нуждаемости в социальной помощи и поддержке ветеранов Великой Отечественной войны и боевых действий и категории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передачу ежеквартально министерству труда и социальной защиты населения Ставропольского края;</w:t>
            </w:r>
          </w:p>
          <w:p>
            <w:pPr>
              <w:pStyle w:val="Normal"/>
              <w:ind w:firstLine="72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42) прием документов и выдачу справок о признании малоимущими семей или малоимущими одиноко проживающих граждан;</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43) прием заявлений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осуществляет контроль за исполнением помощниками своих обязанностей;</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44) работу по комплектованию, хранению, учету и использованию архивных документов, образовавшихся в процессе деятельности Управления в соответствии с законодательством Российской Федерации и законодательством Ставропольского края;</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45) прием граждан, своевременное и полное рассмотрение устных и письменных обращений граждан;</w:t>
            </w:r>
          </w:p>
          <w:p>
            <w:pPr>
              <w:pStyle w:val="Normal"/>
              <w:tabs>
                <w:tab w:val="clear" w:pos="708"/>
                <w:tab w:val="left" w:pos="900" w:leader="none"/>
                <w:tab w:val="left" w:pos="1260" w:leader="none"/>
              </w:tabs>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46)предоставление в установленном порядке информации, статистической и иной отчетности, заявок на финансирование выплат, осуществляемых Управлением;</w:t>
            </w:r>
          </w:p>
          <w:p>
            <w:pPr>
              <w:pStyle w:val="Normal"/>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 xml:space="preserve"> </w:t>
            </w:r>
            <w:r>
              <w:rPr>
                <w:rFonts w:eastAsia="" w:cs="Times New Roman" w:ascii="Times New Roman" w:hAnsi="Times New Roman" w:eastAsiaTheme="minorEastAsia"/>
                <w:i w:val="false"/>
                <w:iCs w:val="false"/>
                <w:color w:val="auto"/>
                <w:kern w:val="0"/>
                <w:sz w:val="28"/>
                <w:szCs w:val="28"/>
                <w:u w:val="none"/>
                <w:lang w:val="ru-RU" w:eastAsia="ru-RU" w:bidi="ar-SA"/>
              </w:rPr>
              <w:t>47) ежемесячную денежную выплату пенсионерам города Пятигорска, достигшим возраста 80 лет и старше, получающим пенсию через Государственное учреждение – Управление Пенсионного фонда РФ по городу Пятигорску; супругу (супруге) погибшего (умершего) инвалида и участника Великой Отечественной войны; участникам боев за город Пятигорск и членам их семей (вдова (вдовец) умершего, одинокие дети, другие члены семьи, являющиеся инвалидами I и II группы);</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48) назначение и ежемесячную денежную выплату заслуженным работникам народного хозяйства РФ, РСФСР (СССР), зарегистрированным по месту жительства на территории города Пятигорска, не являющимся получателями ежемесячных денежных выплат за счет средств федерального или краевого бюджетов;</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49) назначение и выплату ежемесячной денежной выплаты участникам боев за город Пятигорск и членам их семей (вдова (вдовец) умершего, одинокие дети, другие члены семьи, являющиеся инвалидами I и II группы), зарегистрированным по месту жительства на территории города-курорта Пятигорска;</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50) прием заявлений, документов и выдачу справок о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pPr>
              <w:pStyle w:val="Normal"/>
              <w:ind w:firstLine="72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51) выдачу пенсионерам города-курорта Пятигорска, не имеющим федеральной и краевой льготы, справок, подтверждающих право приобретения (льготной активации электронных транспортных карт) льготных месячных проездных билетов для проезда в городском общественном транспорте;</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52) сверку реестров граждан города-курорта Пятигорска, воспользовавшихся правом приобретения льготного месячного проездного билета (льготной активации электронной транспортной карты), предоставляемых предприятиями, осуществляющими пассажирские перевозки в городском общественном транспорте, и составление акта сверки;</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53) выдачу социальных карт определенным категориям граждан города-курорта Пятигорска, и контроль за реализацией муниципальной программы «Социальная карта»;</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54) мониторинг социальной помощи ветеранам (инвалидам) Великой Отечественной войны и ветеранам (инвалидам) боевых действий, проживающим на территории города-курорта Пятигорска, а также анализ эффективности оказания социальной помощи гражданам в рамках муниципальных полномочий, прогнозирует развитие системы оказания социальной помощи населению;</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55) подготовку предложений, направленных на улучшение условий и охраны труда работников организаций города-курорта Пятигорска, и обучение по охране труда, участвует в их реализации;</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56) разработку предложений и мероприятий по эффективному использованию трудовых ресурсов для решения задач, возникающих в ходе организации мобилизационной подготовки экономики Ставропольского края;</w:t>
            </w:r>
          </w:p>
          <w:p>
            <w:pPr>
              <w:pStyle w:val="Normal"/>
              <w:ind w:firstLine="708"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57) подготовку предложений и материалов по награждению государственными наградами Ставропольского края, ведомственными знаками отличия работников и организаций социально-трудовой сферы города;</w:t>
            </w:r>
          </w:p>
          <w:p>
            <w:pPr>
              <w:pStyle w:val="Normal"/>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ab/>
              <w:t>58) направление детей с ограниченными возможностями здоровья и часто болеющих детей из малообеспеченных семей в ГБУСО «Краевой реабилитационный центр для детей и подростков с ограниченными возможностями «Орленок»»;</w:t>
            </w:r>
          </w:p>
          <w:p>
            <w:pPr>
              <w:pStyle w:val="Normal"/>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ab/>
              <w:t>59) выдачу справок, подтверждающих право бесплатного проезда в городском электрическом транспорте, и справок, подтверждающих право</w:t>
            </w:r>
          </w:p>
          <w:p>
            <w:pPr>
              <w:pStyle w:val="Normal"/>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бесплатного проезда в городском пассажирском автобусном транспорте, определенным категориям граждан;</w:t>
            </w:r>
          </w:p>
          <w:p>
            <w:pPr>
              <w:pStyle w:val="Normal"/>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ab/>
              <w:t>60) выдачу социальных курортных карт определенным категориям граждан города-курорта Пятигорска, и контроль за реализацией муниципальной программы «Социальная курортная карта»;</w:t>
            </w:r>
          </w:p>
          <w:p>
            <w:pPr>
              <w:pStyle w:val="Normal"/>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ab/>
              <w:t>61) прием документов на оказание адресной социальной помощи на проведение ремонтных работ жилых помещений в рамках реализации основного мероприятия  «Региональный проект «Обеспечение системной поддержки и повышения качества жизни граждан старшего поколения в Ставропольском крае» подпрограммы «Развитие системы социального обслуживания населения Ставропольского края» государственной программы Ставропольского края «Социальная поддержка граждан», утвержденной постановлением Правительства Ставропольского края от 14 декабря 2018 г. № 568-п;</w:t>
            </w:r>
          </w:p>
          <w:p>
            <w:pPr>
              <w:pStyle w:val="Normal"/>
              <w:jc w:val="both"/>
              <w:rPr>
                <w:sz w:val="20"/>
              </w:rPr>
            </w:pPr>
            <w:r>
              <w:rPr>
                <w:rFonts w:eastAsia="" w:cs="Times New Roman" w:ascii="Times New Roman" w:hAnsi="Times New Roman" w:eastAsiaTheme="minorEastAsia"/>
                <w:i w:val="false"/>
                <w:iCs w:val="false"/>
                <w:color w:val="auto"/>
                <w:kern w:val="0"/>
                <w:sz w:val="28"/>
                <w:szCs w:val="28"/>
                <w:u w:val="none"/>
                <w:lang w:val="ru-RU" w:eastAsia="ru-RU" w:bidi="ar-SA"/>
              </w:rPr>
              <w:tab/>
              <w:t xml:space="preserve">62) </w:t>
            </w:r>
            <w:r>
              <w:rPr>
                <w:rStyle w:val="FontStyle15"/>
                <w:rFonts w:eastAsia="" w:cs="Times New Roman" w:ascii="Times New Roman" w:hAnsi="Times New Roman" w:eastAsiaTheme="minorEastAsia"/>
                <w:i w:val="false"/>
                <w:iCs w:val="false"/>
                <w:color w:val="auto"/>
                <w:kern w:val="0"/>
                <w:sz w:val="28"/>
                <w:szCs w:val="28"/>
                <w:u w:val="none"/>
                <w:lang w:val="ru-RU" w:eastAsia="ru-RU" w:bidi="ar-SA"/>
              </w:rPr>
              <w:t>регистрацию и составление списков вкладчиков (акционеров), имеющих право на получение компенсационных выплат;</w:t>
            </w:r>
          </w:p>
          <w:p>
            <w:pPr>
              <w:pStyle w:val="Normal"/>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ab/>
              <w:t>63) направление информации в министерство труда и социальной защиты населения Ставропольского края о предоставляемых гражданам мерах социальной поддержки для определения их права на получение социальной доплаты к пенсии;</w:t>
            </w:r>
          </w:p>
          <w:p>
            <w:pPr>
              <w:pStyle w:val="Normal"/>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ab/>
              <w:t>64) выплату единовременной материальной помощи и финансовой помощи в связи с утратой имущества первой необходимости гражданам, пострадавшим в результате чрезвычайных ситуаций природного и техногенного характера в Ставропольском крае;</w:t>
            </w:r>
          </w:p>
          <w:p>
            <w:pPr>
              <w:pStyle w:val="Normal"/>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ab/>
              <w:t>65) прием и формирование сведений необходимых для осуществления единовременного пособия гражданам, пострадавшим в результате террористических актов и единовременных пособий членам семей гражданина, погибшего (умершего) в результате террористического акта и (или) пресечении террористического акта правомерными действиями.</w:t>
            </w:r>
          </w:p>
          <w:p>
            <w:pPr>
              <w:pStyle w:val="Normal"/>
              <w:ind w:firstLine="72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66) ежемесячное представление в министерство труда и социальной защиты населения Ставропольского края списка получателей ежемесячной денежной компенсации по форме, определенной Федеральной службой по труду и занятости;</w:t>
            </w:r>
          </w:p>
          <w:p>
            <w:pPr>
              <w:pStyle w:val="Normal"/>
              <w:ind w:firstLine="720" w:right="0"/>
              <w:jc w:val="both"/>
              <w:rPr>
                <w:sz w:val="20"/>
              </w:rPr>
            </w:pPr>
            <w:r>
              <w:rPr>
                <w:rFonts w:eastAsia="" w:cs="Times New Roman" w:ascii="Times New Roman" w:hAnsi="Times New Roman" w:eastAsiaTheme="minorEastAsia"/>
                <w:i w:val="false"/>
                <w:iCs w:val="false"/>
                <w:color w:val="auto"/>
                <w:kern w:val="0"/>
                <w:sz w:val="28"/>
                <w:szCs w:val="28"/>
                <w:u w:val="none"/>
                <w:lang w:val="ru-RU" w:eastAsia="ru-RU" w:bidi="ar-SA"/>
              </w:rPr>
              <w:t xml:space="preserve">67) </w:t>
            </w:r>
            <w:r>
              <w:rPr>
                <w:rStyle w:val="Emphasis"/>
                <w:rFonts w:eastAsia="" w:cs="Times New Roman" w:ascii="Times New Roman" w:hAnsi="Times New Roman" w:eastAsiaTheme="minorEastAsia"/>
                <w:i w:val="false"/>
                <w:iCs w:val="false"/>
                <w:color w:val="auto"/>
                <w:kern w:val="0"/>
                <w:sz w:val="28"/>
                <w:szCs w:val="28"/>
                <w:u w:val="none"/>
                <w:lang w:val="ru-RU" w:eastAsia="ru-RU" w:bidi="ar-SA"/>
              </w:rPr>
              <w:t xml:space="preserve">осуществлении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 (в отношении семей, среднедушевой доход которых не превышает двукратную </w:t>
            </w:r>
            <w:r>
              <w:fldChar w:fldCharType="begin"/>
            </w:r>
            <w:r>
              <w:rPr>
                <w:rStyle w:val="Hyperlink"/>
                <w:sz w:val="28"/>
                <w:i w:val="false"/>
                <w:u w:val="none"/>
                <w:kern w:val="0"/>
                <w:szCs w:val="28"/>
                <w:iCs w:val="false"/>
                <w:rFonts w:eastAsia="" w:cs="Times New Roman" w:ascii="Times New Roman" w:hAnsi="Times New Roman"/>
                <w:color w:val="auto"/>
                <w:lang w:val="ru-RU" w:eastAsia="ru-RU" w:bidi="ar-SA"/>
              </w:rPr>
              <w:instrText xml:space="preserve"> HYPERLINK "https://internet.garant.ru/" \l "/document/27106253/entry/0"</w:instrText>
            </w:r>
            <w:r>
              <w:rPr>
                <w:rStyle w:val="Hyperlink"/>
                <w:sz w:val="28"/>
                <w:i w:val="false"/>
                <w:u w:val="none"/>
                <w:kern w:val="0"/>
                <w:szCs w:val="28"/>
                <w:iCs w:val="false"/>
                <w:rFonts w:eastAsia="" w:cs="Times New Roman" w:ascii="Times New Roman" w:hAnsi="Times New Roman"/>
                <w:color w:val="auto"/>
                <w:lang w:val="ru-RU" w:eastAsia="ru-RU" w:bidi="ar-SA"/>
              </w:rPr>
              <w:fldChar w:fldCharType="separate"/>
            </w:r>
            <w:r>
              <w:rPr>
                <w:rStyle w:val="Hyperlink"/>
                <w:rFonts w:eastAsia="" w:cs="Times New Roman" w:ascii="Times New Roman" w:hAnsi="Times New Roman" w:eastAsiaTheme="minorEastAsia"/>
                <w:i w:val="false"/>
                <w:iCs w:val="false"/>
                <w:color w:val="auto"/>
                <w:kern w:val="0"/>
                <w:sz w:val="28"/>
                <w:szCs w:val="28"/>
                <w:u w:val="none"/>
                <w:lang w:val="ru-RU" w:eastAsia="ru-RU" w:bidi="ar-SA"/>
              </w:rPr>
              <w:t>величину прожиточного минимума</w:t>
            </w:r>
            <w:r>
              <w:rPr>
                <w:rStyle w:val="Hyperlink"/>
                <w:sz w:val="28"/>
                <w:i w:val="false"/>
                <w:u w:val="none"/>
                <w:kern w:val="0"/>
                <w:szCs w:val="28"/>
                <w:iCs w:val="false"/>
                <w:rFonts w:eastAsia="" w:cs="Times New Roman" w:ascii="Times New Roman" w:hAnsi="Times New Roman"/>
                <w:color w:val="auto"/>
                <w:lang w:val="ru-RU" w:eastAsia="ru-RU" w:bidi="ar-SA"/>
              </w:rPr>
              <w:fldChar w:fldCharType="end"/>
            </w:r>
            <w:r>
              <w:rPr>
                <w:rStyle w:val="Emphasis"/>
                <w:rFonts w:eastAsia="" w:cs="Times New Roman" w:ascii="Times New Roman" w:hAnsi="Times New Roman" w:eastAsiaTheme="minorEastAsia"/>
                <w:i w:val="false"/>
                <w:iCs w:val="false"/>
                <w:color w:val="auto"/>
                <w:kern w:val="0"/>
                <w:sz w:val="28"/>
                <w:szCs w:val="28"/>
                <w:u w:val="none"/>
                <w:lang w:val="ru-RU" w:eastAsia="ru-RU" w:bidi="ar-SA"/>
              </w:rPr>
              <w:t xml:space="preserve"> трудоспособного населения, установленную в Ставропольском крае на год обращения за назначением ежемесячной денежной выплаты в соответствии с </w:t>
            </w:r>
            <w:r>
              <w:fldChar w:fldCharType="begin"/>
            </w:r>
            <w:r>
              <w:rPr>
                <w:rStyle w:val="Hyperlink"/>
                <w:sz w:val="28"/>
                <w:i w:val="false"/>
                <w:u w:val="none"/>
                <w:kern w:val="0"/>
                <w:szCs w:val="28"/>
                <w:iCs w:val="false"/>
                <w:rFonts w:eastAsia="" w:cs="Times New Roman" w:ascii="Times New Roman" w:hAnsi="Times New Roman"/>
                <w:color w:val="auto"/>
                <w:lang w:val="ru-RU" w:eastAsia="ru-RU" w:bidi="ar-SA"/>
              </w:rPr>
              <w:instrText xml:space="preserve"> HYPERLINK "https://internet.garant.ru/" \l "/document/27109151/entry/0"</w:instrText>
            </w:r>
            <w:r>
              <w:rPr>
                <w:rStyle w:val="Hyperlink"/>
                <w:sz w:val="28"/>
                <w:i w:val="false"/>
                <w:u w:val="none"/>
                <w:kern w:val="0"/>
                <w:szCs w:val="28"/>
                <w:iCs w:val="false"/>
                <w:rFonts w:eastAsia="" w:cs="Times New Roman" w:ascii="Times New Roman" w:hAnsi="Times New Roman"/>
                <w:color w:val="auto"/>
                <w:lang w:val="ru-RU" w:eastAsia="ru-RU" w:bidi="ar-SA"/>
              </w:rPr>
              <w:fldChar w:fldCharType="separate"/>
            </w:r>
            <w:r>
              <w:rPr>
                <w:rStyle w:val="Hyperlink"/>
                <w:rFonts w:eastAsia="" w:cs="Times New Roman" w:ascii="Times New Roman" w:hAnsi="Times New Roman" w:eastAsiaTheme="minorEastAsia"/>
                <w:i w:val="false"/>
                <w:iCs w:val="false"/>
                <w:color w:val="auto"/>
                <w:kern w:val="0"/>
                <w:sz w:val="28"/>
                <w:szCs w:val="28"/>
                <w:u w:val="none"/>
                <w:lang w:val="ru-RU" w:eastAsia="ru-RU" w:bidi="ar-SA"/>
              </w:rPr>
              <w:t>Законом</w:t>
            </w:r>
            <w:r>
              <w:rPr>
                <w:rStyle w:val="Hyperlink"/>
                <w:sz w:val="28"/>
                <w:i w:val="false"/>
                <w:u w:val="none"/>
                <w:kern w:val="0"/>
                <w:szCs w:val="28"/>
                <w:iCs w:val="false"/>
                <w:rFonts w:eastAsia="" w:cs="Times New Roman" w:ascii="Times New Roman" w:hAnsi="Times New Roman"/>
                <w:color w:val="auto"/>
                <w:lang w:val="ru-RU" w:eastAsia="ru-RU" w:bidi="ar-SA"/>
              </w:rPr>
              <w:fldChar w:fldCharType="end"/>
            </w:r>
            <w:r>
              <w:rPr>
                <w:rStyle w:val="Emphasis"/>
                <w:rFonts w:eastAsia="" w:cs="Times New Roman" w:ascii="Times New Roman" w:hAnsi="Times New Roman" w:eastAsiaTheme="minorEastAsia"/>
                <w:i w:val="false"/>
                <w:iCs w:val="false"/>
                <w:color w:val="auto"/>
                <w:kern w:val="0"/>
                <w:sz w:val="28"/>
                <w:szCs w:val="28"/>
                <w:u w:val="none"/>
                <w:lang w:val="ru-RU" w:eastAsia="ru-RU" w:bidi="ar-SA"/>
              </w:rPr>
              <w:t xml:space="preserve"> Ставропольского края от 27 декабря 2004 г. № 112-кз «О порядке установления величины прожиточного минимума в Ставропольском крае»);</w:t>
            </w:r>
          </w:p>
          <w:p>
            <w:pPr>
              <w:pStyle w:val="Normal"/>
              <w:ind w:firstLine="72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68) оказание адресной социальной помощи неработающим пенсионерам, являющимся получателями трудовых пенсий по старости и по инвалидности, проживающим на территории Ставропольского края, в соответствии с краевой социальной программой;</w:t>
            </w:r>
          </w:p>
          <w:p>
            <w:pPr>
              <w:pStyle w:val="Normal"/>
              <w:ind w:firstLine="72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69)  назначение и выплата ежегодной денежной выплаты лицам, награжденным нагрудным знаком «Почетный донор России», «Почетный донор СССР», в соответствии с Федеральным законом «О донорстве крови и ее компонентов»;</w:t>
            </w:r>
          </w:p>
          <w:p>
            <w:pPr>
              <w:pStyle w:val="Normal"/>
              <w:ind w:firstLine="72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70) назначение и выплату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pPr>
              <w:pStyle w:val="Normal"/>
              <w:ind w:firstLine="72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71) оказание государственной социальной помощи малоимущим семьям и малоимущим одиноко проживающим гражданам;</w:t>
            </w:r>
          </w:p>
          <w:p>
            <w:pPr>
              <w:pStyle w:val="Normal"/>
              <w:ind w:firstLine="72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72) предоставление компенсации расходов на уплату взноса на капитальный ремонт общего имущества в многоквартирном доме отдельным категориям граждан, имеющим право на её получение;</w:t>
            </w:r>
          </w:p>
          <w:p>
            <w:pPr>
              <w:pStyle w:val="Normal"/>
              <w:ind w:firstLine="72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73) ежемесячную доплату к пенсии в размере 500 рублей отдельным категориям пенсионеров, достигшим возраста 80 лет и старше, имеющим совокупный доход не более 11 500 рублей;</w:t>
            </w:r>
          </w:p>
          <w:p>
            <w:pPr>
              <w:pStyle w:val="Normal"/>
              <w:tabs>
                <w:tab w:val="clear" w:pos="708"/>
                <w:tab w:val="left" w:pos="0" w:leader="none"/>
              </w:tabs>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74) прием заявлений  для предоставления жилых помещений в домах системы социального обслуживания граждан специализированного жилищного фонда Ставропольского края;</w:t>
            </w:r>
          </w:p>
          <w:p>
            <w:pPr>
              <w:pStyle w:val="Normal"/>
              <w:tabs>
                <w:tab w:val="clear" w:pos="708"/>
                <w:tab w:val="left" w:pos="0" w:leader="none"/>
              </w:tabs>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75) выдачу социальных медицинских карт отдельным категориям граждан города-курорта Пятигорска, и контроль за реализацией муниципальной программы «Социальная медицинская карта;</w:t>
            </w:r>
          </w:p>
          <w:p>
            <w:pPr>
              <w:pStyle w:val="Normal"/>
              <w:tabs>
                <w:tab w:val="clear" w:pos="708"/>
                <w:tab w:val="left" w:pos="0" w:leader="none"/>
              </w:tabs>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76) выдачу ходатайств об оказании помощи отдельным категориям граждан города-курорта Пятигорска в рамках реализации проекта «Рука помощи», и контроль за реализацией проекта «Рука помощи;</w:t>
            </w:r>
          </w:p>
          <w:p>
            <w:pPr>
              <w:pStyle w:val="Normal"/>
              <w:tabs>
                <w:tab w:val="clear" w:pos="708"/>
                <w:tab w:val="left" w:pos="0" w:leader="none"/>
              </w:tabs>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77) прием заявлений  и документов, необходимых для выдачи удостоверений многодетным семьям;</w:t>
            </w:r>
          </w:p>
          <w:p>
            <w:pPr>
              <w:pStyle w:val="Normal"/>
              <w:tabs>
                <w:tab w:val="clear" w:pos="708"/>
                <w:tab w:val="left" w:pos="0" w:leader="none"/>
              </w:tabs>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78) прием заявлений и документов, необходимых для выдачи удостоверений гражданам Российской Федерации, не достигшим совершеннолетия на 3 сентября 1945 года и постоянно проживающим на территории города-курорта Пятигорска,  оформлении и выдаче указанных удостоверений;</w:t>
            </w:r>
          </w:p>
          <w:p>
            <w:pPr>
              <w:pStyle w:val="Normal"/>
              <w:tabs>
                <w:tab w:val="clear" w:pos="708"/>
                <w:tab w:val="left" w:pos="0" w:leader="none"/>
              </w:tabs>
              <w:ind w:firstLine="540" w:right="0"/>
              <w:jc w:val="both"/>
              <w:rPr>
                <w:sz w:val="20"/>
              </w:rPr>
            </w:pPr>
            <w:r>
              <w:rPr>
                <w:rFonts w:eastAsia="" w:cs="Times New Roman" w:ascii="Times New Roman" w:hAnsi="Times New Roman" w:eastAsiaTheme="minorEastAsia"/>
                <w:i w:val="false"/>
                <w:iCs w:val="false"/>
                <w:color w:val="auto"/>
                <w:kern w:val="0"/>
                <w:sz w:val="28"/>
                <w:szCs w:val="28"/>
                <w:u w:val="none"/>
                <w:lang w:val="ru-RU" w:eastAsia="ru-RU" w:bidi="ar-SA"/>
              </w:rPr>
              <w:t xml:space="preserve">79) назначение и осуществление </w:t>
            </w:r>
            <w:r>
              <w:fldChar w:fldCharType="begin"/>
            </w:r>
            <w:r>
              <w:rPr>
                <w:rStyle w:val="Hyperlink"/>
                <w:sz w:val="28"/>
                <w:i w:val="false"/>
                <w:u w:val="none"/>
                <w:kern w:val="0"/>
                <w:szCs w:val="28"/>
                <w:iCs w:val="false"/>
                <w:rFonts w:eastAsia="" w:cs="Times New Roman" w:ascii="Times New Roman" w:hAnsi="Times New Roman"/>
                <w:color w:val="auto"/>
                <w:lang w:val="ru-RU" w:eastAsia="ru-RU" w:bidi="ar-SA"/>
              </w:rPr>
              <w:instrText xml:space="preserve"> HYPERLINK "http://internet.garant.ru/" \l "/document/45348922/entry/1000"</w:instrText>
            </w:r>
            <w:r>
              <w:rPr>
                <w:rStyle w:val="Hyperlink"/>
                <w:sz w:val="28"/>
                <w:i w:val="false"/>
                <w:u w:val="none"/>
                <w:kern w:val="0"/>
                <w:szCs w:val="28"/>
                <w:iCs w:val="false"/>
                <w:rFonts w:eastAsia="" w:cs="Times New Roman" w:ascii="Times New Roman" w:hAnsi="Times New Roman"/>
                <w:color w:val="auto"/>
                <w:lang w:val="ru-RU" w:eastAsia="ru-RU" w:bidi="ar-SA"/>
              </w:rPr>
              <w:fldChar w:fldCharType="separate"/>
            </w:r>
            <w:r>
              <w:rPr>
                <w:rStyle w:val="Hyperlink"/>
                <w:rFonts w:eastAsia="" w:cs="Times New Roman" w:ascii="Times New Roman" w:hAnsi="Times New Roman" w:eastAsiaTheme="minorEastAsia"/>
                <w:i w:val="false"/>
                <w:iCs w:val="false"/>
                <w:color w:val="auto"/>
                <w:kern w:val="0"/>
                <w:sz w:val="28"/>
                <w:szCs w:val="28"/>
                <w:u w:val="none"/>
                <w:lang w:val="ru-RU" w:eastAsia="ru-RU" w:bidi="ar-SA"/>
              </w:rPr>
              <w:t>ежегодной денежной выплаты</w:t>
            </w:r>
            <w:r>
              <w:rPr>
                <w:rStyle w:val="Hyperlink"/>
                <w:sz w:val="28"/>
                <w:i w:val="false"/>
                <w:u w:val="none"/>
                <w:kern w:val="0"/>
                <w:szCs w:val="28"/>
                <w:iCs w:val="false"/>
                <w:rFonts w:eastAsia="" w:cs="Times New Roman" w:ascii="Times New Roman" w:hAnsi="Times New Roman"/>
                <w:color w:val="auto"/>
                <w:lang w:val="ru-RU" w:eastAsia="ru-RU" w:bidi="ar-SA"/>
              </w:rPr>
              <w:fldChar w:fldCharType="end"/>
            </w:r>
            <w:r>
              <w:rPr>
                <w:rFonts w:eastAsia="" w:cs="Times New Roman" w:ascii="Times New Roman" w:hAnsi="Times New Roman" w:eastAsiaTheme="minorEastAsia"/>
                <w:i w:val="false"/>
                <w:iCs w:val="false"/>
                <w:color w:val="auto"/>
                <w:kern w:val="0"/>
                <w:sz w:val="28"/>
                <w:szCs w:val="28"/>
                <w:u w:val="none"/>
                <w:lang w:val="ru-RU" w:eastAsia="ru-RU" w:bidi="ar-SA"/>
              </w:rPr>
              <w:t xml:space="preserve"> гражданам Российской Федерации, не достигшим совершеннолетия на 3 сентября 1945 года и постоянно проживающим на территории города-курорта Пятигорска;</w:t>
            </w:r>
          </w:p>
          <w:p>
            <w:pPr>
              <w:pStyle w:val="Normal"/>
              <w:tabs>
                <w:tab w:val="clear" w:pos="708"/>
                <w:tab w:val="left" w:pos="0" w:leader="none"/>
              </w:tabs>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80) выдачу социальных карт рынка социальных услуг определенным категориям граждан города-курорта Пятигорска;</w:t>
            </w:r>
          </w:p>
          <w:p>
            <w:pPr>
              <w:pStyle w:val="Normal"/>
              <w:tabs>
                <w:tab w:val="clear" w:pos="708"/>
                <w:tab w:val="left" w:pos="0" w:leader="none"/>
              </w:tabs>
              <w:ind w:firstLine="540" w:right="0"/>
              <w:jc w:val="both"/>
              <w:rPr>
                <w:rFonts w:ascii="Times New Roman" w:hAnsi="Times New Roman" w:eastAsia="" w:cs="Times New Roman" w:eastAsiaTheme="minorEastAsia"/>
                <w:i w:val="false"/>
                <w:i w:val="false"/>
                <w:iCs w:val="false"/>
                <w:color w:val="auto"/>
                <w:kern w:val="0"/>
                <w:sz w:val="28"/>
                <w:szCs w:val="28"/>
                <w:u w:val="none"/>
                <w:lang w:val="ru-RU" w:eastAsia="ru-RU" w:bidi="ar-SA"/>
              </w:rPr>
            </w:pPr>
            <w:r>
              <w:rPr>
                <w:rFonts w:eastAsia="" w:cs="Times New Roman" w:ascii="Times New Roman" w:hAnsi="Times New Roman" w:eastAsiaTheme="minorEastAsia"/>
                <w:i w:val="false"/>
                <w:iCs w:val="false"/>
                <w:color w:val="auto"/>
                <w:kern w:val="0"/>
                <w:sz w:val="28"/>
                <w:szCs w:val="28"/>
                <w:u w:val="none"/>
                <w:lang w:val="ru-RU" w:eastAsia="ru-RU" w:bidi="ar-SA"/>
              </w:rPr>
              <w:t>81) назначение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p>
            <w:pPr>
              <w:pStyle w:val="Normal"/>
              <w:tabs>
                <w:tab w:val="clear" w:pos="708"/>
                <w:tab w:val="left" w:pos="0" w:leader="none"/>
              </w:tabs>
              <w:ind w:firstLine="540" w:right="0"/>
              <w:jc w:val="both"/>
              <w:rPr>
                <w:sz w:val="20"/>
              </w:rPr>
            </w:pPr>
            <w:r>
              <w:rPr>
                <w:rStyle w:val="Style15"/>
                <w:rFonts w:eastAsia="" w:cs="Times New Roman" w:ascii="Times New Roman" w:hAnsi="Times New Roman" w:eastAsiaTheme="minorEastAsia"/>
                <w:i w:val="false"/>
                <w:iCs w:val="false"/>
                <w:color w:val="auto"/>
                <w:kern w:val="0"/>
                <w:sz w:val="28"/>
                <w:szCs w:val="28"/>
                <w:u w:val="none"/>
                <w:lang w:val="ru-RU" w:eastAsia="ru-RU" w:bidi="ar-SA"/>
              </w:rPr>
              <w:t>82) в пределах своих полномочий исполнение решений судов и мировых соглашений по вопросам, отнесенным к компетенции управления;</w:t>
            </w:r>
          </w:p>
          <w:p>
            <w:pPr>
              <w:pStyle w:val="Normal"/>
              <w:tabs>
                <w:tab w:val="clear" w:pos="708"/>
                <w:tab w:val="left" w:pos="0" w:leader="none"/>
              </w:tabs>
              <w:ind w:firstLine="540" w:right="0"/>
              <w:jc w:val="both"/>
              <w:rPr>
                <w:sz w:val="20"/>
              </w:rPr>
            </w:pPr>
            <w:r>
              <w:rPr>
                <w:rStyle w:val="Style15"/>
                <w:rFonts w:eastAsia="" w:cs="Times New Roman" w:ascii="Times New Roman" w:hAnsi="Times New Roman" w:eastAsiaTheme="minorEastAsia"/>
                <w:i w:val="false"/>
                <w:iCs w:val="false"/>
                <w:color w:val="auto"/>
                <w:kern w:val="0"/>
                <w:sz w:val="28"/>
                <w:szCs w:val="28"/>
                <w:u w:val="none"/>
                <w:lang w:val="ru-RU" w:eastAsia="ru-RU" w:bidi="ar-SA"/>
              </w:rPr>
              <w:t>83</w:t>
            </w:r>
            <w:r>
              <w:rPr>
                <w:rStyle w:val="Emphasis"/>
                <w:rFonts w:eastAsia="" w:cs="Times New Roman" w:ascii="Times New Roman" w:hAnsi="Times New Roman" w:eastAsiaTheme="minorEastAsia"/>
                <w:i w:val="false"/>
                <w:iCs w:val="false"/>
                <w:color w:val="auto"/>
                <w:kern w:val="0"/>
                <w:sz w:val="28"/>
                <w:szCs w:val="28"/>
                <w:u w:val="none"/>
                <w:lang w:val="ru-RU" w:eastAsia="ru-RU" w:bidi="ar-SA"/>
              </w:rPr>
              <w:t>)  прием заявлений и документов, необходимых для назначения и выплаты отдельным категориям граждан единовременной денежной компенсации части расходов на проведение работ внутри границ земельных участков по догазификации их домовладений и (или) приобретение ими внутридомового газового оборудования для установления в домовладении в соответствии с Законом Ставропольского края от 07 октября 2022г. № 91-кз «О предоставлении дополнительной меры социальной поддержки отдельным категориям граждан, проживающих на территории Ставропольского края, в виде компенсации части расходов на проведение работ внутри границ земельных участков по догазификации их домовладений и (или) приобретение внутридомового газового оборудования;</w:t>
            </w:r>
          </w:p>
          <w:p>
            <w:pPr>
              <w:pStyle w:val="Normal"/>
              <w:tabs>
                <w:tab w:val="clear" w:pos="708"/>
                <w:tab w:val="left" w:pos="0" w:leader="none"/>
              </w:tabs>
              <w:spacing w:before="0" w:after="200"/>
              <w:ind w:firstLine="540" w:right="0"/>
              <w:jc w:val="both"/>
              <w:rPr>
                <w:sz w:val="20"/>
              </w:rPr>
            </w:pPr>
            <w:r>
              <w:rPr>
                <w:rStyle w:val="Emphasis"/>
                <w:rFonts w:eastAsia="" w:cs="Times New Roman" w:ascii="Times New Roman" w:hAnsi="Times New Roman" w:eastAsiaTheme="minorEastAsia"/>
                <w:i w:val="false"/>
                <w:iCs w:val="false"/>
                <w:color w:val="auto"/>
                <w:kern w:val="0"/>
                <w:sz w:val="28"/>
                <w:szCs w:val="28"/>
                <w:u w:val="none"/>
                <w:lang w:val="ru-RU" w:eastAsia="ru-RU" w:bidi="ar-SA"/>
              </w:rPr>
              <w:t>84) прием документов на оказание дополнительной меры социальной поддержки в виде обеспечения автономными пожарными извещателями мест проживания отдельных категорий граждан, проживающих на территории муниципального образования города-курорта Пятигорска».</w:t>
            </w:r>
          </w:p>
        </w:tc>
        <w:tc>
          <w:tcPr>
            <w:tcW w:w="1639" w:type="dxa"/>
            <w:tcBorders>
              <w:top w:val="single" w:sz="2" w:space="0" w:color="000000"/>
              <w:left w:val="single" w:sz="2" w:space="0" w:color="000000"/>
              <w:bottom w:val="single" w:sz="2" w:space="0" w:color="000000"/>
            </w:tcBorders>
          </w:tcPr>
          <w:p>
            <w:pPr>
              <w:pStyle w:val="Style20"/>
              <w:widowControl/>
              <w:suppressAutoHyphens w:val="true"/>
              <w:spacing w:lineRule="auto" w:line="240" w:before="0" w:after="200"/>
              <w:jc w:val="center"/>
              <w:rPr>
                <w:sz w:val="28"/>
                <w:szCs w:val="28"/>
              </w:rPr>
            </w:pPr>
            <w:r>
              <w:rPr>
                <w:rFonts w:eastAsia="" w:cs=""/>
                <w:kern w:val="0"/>
                <w:sz w:val="28"/>
                <w:szCs w:val="28"/>
                <w:lang w:val="ru-RU" w:eastAsia="ru-RU" w:bidi="ar-SA"/>
              </w:rPr>
              <w:t>да</w:t>
            </w:r>
          </w:p>
        </w:tc>
        <w:tc>
          <w:tcPr>
            <w:tcW w:w="1180" w:type="dxa"/>
            <w:tcBorders>
              <w:top w:val="single" w:sz="2" w:space="0" w:color="000000"/>
              <w:left w:val="single" w:sz="2" w:space="0" w:color="000000"/>
              <w:bottom w:val="single" w:sz="2" w:space="0" w:color="000000"/>
            </w:tcBorders>
          </w:tcPr>
          <w:p>
            <w:pPr>
              <w:pStyle w:val="Style20"/>
              <w:widowControl/>
              <w:suppressLineNumbers/>
              <w:suppressAutoHyphens w:val="true"/>
              <w:spacing w:lineRule="auto" w:line="240" w:before="0" w:after="200"/>
              <w:jc w:val="left"/>
              <w:rPr>
                <w:rFonts w:ascii="Times New Roman" w:hAnsi="Times New Roman"/>
                <w:sz w:val="28"/>
                <w:szCs w:val="28"/>
              </w:rPr>
            </w:pPr>
            <w:r>
              <w:rPr>
                <w:rFonts w:eastAsia="" w:cs="" w:ascii="Times New Roman" w:hAnsi="Times New Roman"/>
                <w:kern w:val="0"/>
                <w:sz w:val="28"/>
                <w:szCs w:val="28"/>
                <w:lang w:val="ru-RU" w:eastAsia="ru-RU" w:bidi="ar-SA"/>
              </w:rPr>
              <w:t>39-08-28</w:t>
            </w:r>
          </w:p>
        </w:tc>
        <w:tc>
          <w:tcPr>
            <w:tcW w:w="2280" w:type="dxa"/>
            <w:tcBorders>
              <w:top w:val="single" w:sz="2" w:space="0" w:color="000000"/>
              <w:left w:val="single" w:sz="2" w:space="0" w:color="000000"/>
              <w:bottom w:val="single" w:sz="2" w:space="0" w:color="000000"/>
              <w:right w:val="single" w:sz="2" w:space="0" w:color="000000"/>
            </w:tcBorders>
          </w:tcPr>
          <w:p>
            <w:pPr>
              <w:pStyle w:val="Normal"/>
              <w:suppressLineNumbers/>
              <w:suppressAutoHyphens w:val="true"/>
              <w:spacing w:lineRule="auto" w:line="240" w:before="0" w:after="200"/>
              <w:jc w:val="center"/>
              <w:rPr>
                <w:sz w:val="20"/>
              </w:rPr>
            </w:pPr>
            <w:hyperlink r:id="rId2">
              <w:r>
                <w:rPr>
                  <w:rFonts w:ascii="Times New Roman" w:hAnsi="Times New Roman"/>
                  <w:color w:val="000000"/>
                  <w:sz w:val="28"/>
                  <w:szCs w:val="28"/>
                  <w:u w:val="none"/>
                  <w:lang w:val="en-US"/>
                </w:rPr>
                <w:t>utszn</w:t>
              </w:r>
              <w:r>
                <w:rPr>
                  <w:rFonts w:ascii="Times New Roman" w:hAnsi="Times New Roman"/>
                  <w:color w:val="000000"/>
                  <w:sz w:val="28"/>
                  <w:szCs w:val="28"/>
                  <w:u w:val="none"/>
                </w:rPr>
                <w:t>032@</w:t>
              </w:r>
              <w:r>
                <w:rPr>
                  <w:rFonts w:ascii="Times New Roman" w:hAnsi="Times New Roman"/>
                  <w:color w:val="000000"/>
                  <w:sz w:val="28"/>
                  <w:szCs w:val="28"/>
                  <w:u w:val="none"/>
                  <w:lang w:val="en-US"/>
                </w:rPr>
                <w:t>mail</w:t>
              </w:r>
              <w:r>
                <w:rPr>
                  <w:rFonts w:ascii="Times New Roman" w:hAnsi="Times New Roman"/>
                  <w:color w:val="000000"/>
                  <w:sz w:val="28"/>
                  <w:szCs w:val="28"/>
                  <w:u w:val="none"/>
                </w:rPr>
                <w:t>.</w:t>
              </w:r>
              <w:r>
                <w:rPr>
                  <w:rFonts w:ascii="Times New Roman" w:hAnsi="Times New Roman"/>
                  <w:color w:val="000000"/>
                  <w:sz w:val="28"/>
                  <w:szCs w:val="28"/>
                  <w:u w:val="none"/>
                  <w:lang w:val="en-US"/>
                </w:rPr>
                <w:t>ru</w:t>
              </w:r>
            </w:hyperlink>
          </w:p>
        </w:tc>
      </w:tr>
    </w:tbl>
    <w:p>
      <w:pPr>
        <w:pStyle w:val="Normal"/>
        <w:widowControl/>
        <w:bidi w:val="0"/>
        <w:spacing w:lineRule="auto" w:line="276" w:before="0" w:after="200"/>
        <w:jc w:val="left"/>
        <w:rPr/>
      </w:pPr>
      <w:r>
        <w:rPr/>
      </w:r>
    </w:p>
    <w:p>
      <w:pPr>
        <w:pStyle w:val="Normal"/>
        <w:widowControl/>
        <w:bidi w:val="0"/>
        <w:spacing w:lineRule="auto" w:line="276" w:before="0" w:after="200"/>
        <w:jc w:val="left"/>
        <w:rPr>
          <w:rStyle w:val="Emphasis"/>
          <w:rFonts w:ascii="Times New Roman" w:hAnsi="Times New Roman" w:eastAsia="" w:cs="Times New Roman" w:eastAsiaTheme="minorEastAsia"/>
          <w:i w:val="false"/>
          <w:i w:val="false"/>
          <w:iCs w:val="false"/>
          <w:color w:val="auto"/>
          <w:kern w:val="0"/>
          <w:sz w:val="28"/>
          <w:szCs w:val="28"/>
          <w:u w:val="none"/>
          <w:lang w:val="ru-RU" w:eastAsia="ru-RU" w:bidi="ar-SA"/>
        </w:rPr>
      </w:pPr>
      <w:r>
        <w:rPr/>
      </w:r>
    </w:p>
    <w:sectPr>
      <w:footerReference w:type="default" r:id="rId3"/>
      <w:type w:val="nextPage"/>
      <w:pgSz w:orient="landscape" w:w="16838" w:h="11906"/>
      <w:pgMar w:left="1134" w:right="1134" w:gutter="0" w:header="0" w:top="1134" w:footer="850" w:bottom="1402"/>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uppressLineNumbers/>
      <w:spacing w:before="0" w:after="200"/>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3382"/>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Hyperlink">
    <w:name w:val="Hyperlink"/>
    <w:rPr>
      <w:color w:val="000080"/>
      <w:u w:val="single"/>
      <w:lang w:val="zxx" w:eastAsia="zxx" w:bidi="zxx"/>
    </w:rPr>
  </w:style>
  <w:style w:type="character" w:styleId="Style14">
    <w:name w:val="Основной шрифт абзаца"/>
    <w:qFormat/>
    <w:rPr/>
  </w:style>
  <w:style w:type="character" w:styleId="FontStyle15">
    <w:name w:val="Font Style15"/>
    <w:basedOn w:val="Style14"/>
    <w:qFormat/>
    <w:rPr>
      <w:rFonts w:ascii="Times New Roman" w:hAnsi="Times New Roman" w:cs="Times New Roman"/>
      <w:sz w:val="20"/>
      <w:szCs w:val="20"/>
    </w:rPr>
  </w:style>
  <w:style w:type="character" w:styleId="Style15">
    <w:name w:val="Цветовое выделение для Текст"/>
    <w:qFormat/>
    <w:rPr/>
  </w:style>
  <w:style w:type="character" w:styleId="Style16">
    <w:name w:val="Выделение"/>
    <w:basedOn w:val="Style14"/>
    <w:qFormat/>
    <w:rPr>
      <w:i/>
      <w:iCs/>
    </w:rPr>
  </w:style>
  <w:style w:type="character" w:styleId="Style17">
    <w:name w:val="Символ нумерации"/>
    <w:qFormat/>
    <w:rPr/>
  </w:style>
  <w:style w:type="character" w:styleId="Emphasis">
    <w:name w:val="Emphasis"/>
    <w:basedOn w:val="Style14"/>
    <w:qFormat/>
    <w:rPr>
      <w:i/>
      <w:iCs/>
    </w:rPr>
  </w:style>
  <w:style w:type="paragraph" w:styleId="Style18">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5e5233"/>
    <w:pPr>
      <w:spacing w:lineRule="auto" w:line="240" w:before="0" w:after="0"/>
      <w:ind w:hanging="0" w:left="720"/>
      <w:contextualSpacing/>
    </w:pPr>
    <w:rPr>
      <w:rFonts w:ascii="Times New Roman" w:hAnsi="Times New Roman" w:eastAsia="Times New Roman" w:cs="Times New Roman"/>
      <w:sz w:val="24"/>
      <w:szCs w:val="24"/>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Style20">
    <w:name w:val="Содержимое таблицы"/>
    <w:basedOn w:val="Normal"/>
    <w:qFormat/>
    <w:pPr>
      <w:suppressLineNumbers/>
    </w:pPr>
    <w:rPr/>
  </w:style>
  <w:style w:type="paragraph" w:styleId="Style21">
    <w:name w:val="Верхний и нижний колонтитулы"/>
    <w:basedOn w:val="Normal"/>
    <w:qFormat/>
    <w:pPr>
      <w:suppressLineNumbers/>
      <w:tabs>
        <w:tab w:val="clear" w:pos="708"/>
        <w:tab w:val="center" w:pos="7285" w:leader="none"/>
        <w:tab w:val="right" w:pos="14570" w:leader="none"/>
      </w:tabs>
    </w:pPr>
    <w:rPr/>
  </w:style>
  <w:style w:type="paragraph" w:styleId="Style22">
    <w:name w:val="Колонтитул"/>
    <w:basedOn w:val="Normal"/>
    <w:qFormat/>
    <w:pPr/>
    <w:rPr/>
  </w:style>
  <w:style w:type="paragraph" w:styleId="Footer">
    <w:name w:val="Footer"/>
    <w:basedOn w:val="Style21"/>
    <w:pPr>
      <w:suppressLineNumbers/>
    </w:pPr>
    <w:rPr/>
  </w:style>
  <w:style w:type="paragraph" w:styleId="Style23">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59"/>
    <w:rsid w:val="005e523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tszn032@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151</TotalTime>
  <Application>LibreOffice/7.6.1.2$Windows_X86_64 LibreOffice_project/f5defcebd022c5bc36bbb79be232cb6926d8f674</Application>
  <AppVersion>15.0000</AppVersion>
  <Pages>26</Pages>
  <Words>2907</Words>
  <Characters>20990</Characters>
  <CharactersWithSpaces>23832</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2021-02-16T11:38:00Z</dcterms:created>
  <dc:creator>User</dc:creator>
  <dc:description/>
  <dc:language>ru-RU</dc:language>
  <cp:lastModifiedBy/>
  <dcterms:modified xsi:type="dcterms:W3CDTF">2024-03-25T16:19:42Z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